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04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bookmarkStart w:id="0" w:name="__DdeLink__428060_2144257882"/>
      <w:r>
        <w:rPr>
          <w:rFonts w:ascii="PT Astra Serif" w:hAnsi="PT Astra Serif"/>
          <w:b/>
          <w:bCs/>
          <w:sz w:val="26"/>
          <w:szCs w:val="26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  <w:bookmarkEnd w:id="0"/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208_3880014481"/>
      <w:bookmarkStart w:id="2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04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 xml:space="preserve">октября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 xml:space="preserve">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 разработан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в целях приведения положений государственной программы в соответствие с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 (в редакции от 27.05.2022), а также с учётом Технологической карты процесса разработки государственных программ Ульяновской области, разработанной Министерством финансов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Проектом постановления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п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редусматривается продление срока реализации государственной программы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>до 6 лет (2020 – 2025 гг.).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eastAsia="Calibri" w:ascii="PT Astra Serif" w:hAnsi="PT Astra Serif"/>
          <w:sz w:val="26"/>
          <w:szCs w:val="26"/>
          <w:lang w:eastAsia="en-US"/>
        </w:rPr>
        <w:t>г</w:t>
      </w:r>
      <w:r>
        <w:rPr>
          <w:rFonts w:ascii="PT Astra Serif" w:hAnsi="PT Astra Serif"/>
          <w:sz w:val="26"/>
          <w:szCs w:val="26"/>
          <w:lang w:eastAsia="en-US"/>
        </w:rPr>
        <w:t>осударственная программа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продовольствия, утверждённая постановлением Правительства </w:t>
      </w:r>
      <w:r>
        <w:rPr>
          <w:rFonts w:ascii="PT Astra Serif" w:hAnsi="PT Astra Serif"/>
          <w:color w:val="000000"/>
          <w:sz w:val="26"/>
          <w:szCs w:val="26"/>
          <w:lang w:eastAsia="zh-CN"/>
        </w:rPr>
        <w:t>Российской Федерации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 от 14.07.2012 № 717</w:t>
        <w:br/>
        <w:t>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  <w:lang w:eastAsia="zh-CN"/>
        </w:rPr>
        <w:t xml:space="preserve">- 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государственная программа Российской Федерации «Комплексное развитие сельских территорий», утверждённая постановлением Правительства </w:t>
      </w:r>
      <w:r>
        <w:rPr>
          <w:rFonts w:ascii="PT Astra Serif" w:hAnsi="PT Astra Serif"/>
          <w:color w:val="000000"/>
          <w:sz w:val="26"/>
          <w:szCs w:val="26"/>
          <w:lang w:eastAsia="zh-CN"/>
        </w:rPr>
        <w:t>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 xml:space="preserve">- </w:t>
      </w:r>
      <w:r>
        <w:rPr>
          <w:rFonts w:eastAsia="Calibri" w:ascii="PT Astra Serif" w:hAnsi="PT Astra Serif"/>
          <w:b w:val="false"/>
          <w:bCs w:val="false"/>
          <w:color w:val="000000"/>
          <w:sz w:val="26"/>
          <w:szCs w:val="26"/>
          <w:lang w:eastAsia="en-US"/>
        </w:rPr>
        <w:t xml:space="preserve">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Федерации, утверждённая постановлением Правительства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>Российской Федерации</w:t>
        <w:br/>
      </w:r>
      <w:r>
        <w:rPr>
          <w:rFonts w:eastAsia="Calibri" w:ascii="PT Astra Serif" w:hAnsi="PT Astra Serif"/>
          <w:b w:val="false"/>
          <w:bCs w:val="false"/>
          <w:color w:val="000000"/>
          <w:sz w:val="26"/>
          <w:szCs w:val="26"/>
          <w:lang w:eastAsia="en-US"/>
        </w:rPr>
        <w:t>от 14.05.2021 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Федерации».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  <w:lang w:eastAsia="zh-CN"/>
        </w:rPr>
        <w:t>В связи с внесением изменений в части реализации государственной программы Российской Федерации «Комплексное развитие сельских территорий» вносятся технические изменения в отдельные правила предоставления</w:t>
        <w:br/>
        <w:t>и распределения субсидий из областного бюджета Ульяновской области бюджетам муниципальных образований Ульяновской области.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Application>LibreOffice/6.4.7.2$Linux_X86_64 LibreOffice_project/40$Build-2</Application>
  <Pages>2</Pages>
  <Words>398</Words>
  <Characters>3335</Characters>
  <CharactersWithSpaces>3772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2022-10-05T16:13:51Z</cp:lastPrinted>
  <dcterms:modified xsi:type="dcterms:W3CDTF">2022-10-05T16:17:07Z</dcterms:modified>
  <cp:revision>70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